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media/image2.svg" ContentType="image/sv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left"/>
        <w:rPr/>
      </w:pPr>
      <w:r>
        <w:rPr/>
        <w:drawing>
          <wp:inline distT="0" distB="0" distL="0" distR="0">
            <wp:extent cx="720090" cy="539750"/>
            <wp:effectExtent l="0" t="0" r="0" b="0"/>
            <wp:docPr id="1" name="Image1" descr="Tiếp C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Tiếp Cận"/>
                    <pic:cNvPicPr>
                      <a:picLocks noChangeAspect="1" noChangeArrowheads="1"/>
                    </pic:cNvPicPr>
                  </pic:nvPicPr>
                  <pic:blipFill>
                    <a:blip r:embed="rId2">
                      <a:extLst>
                        <a:ext uri="{96DAC541-7B7A-43D3-8B79-37D633B846F1}">
                          <asvg:svgBlip xmlns:asvg="http://schemas.microsoft.com/office/drawing/2016/SVG/main" r:embed="rId3"/>
                        </a:ext>
                      </a:extLst>
                    </a:blip>
                    <a:stretch>
                      <a:fillRect/>
                    </a:stretch>
                  </pic:blipFill>
                  <pic:spPr bwMode="auto">
                    <a:xfrm>
                      <a:off x="0" y="0"/>
                      <a:ext cx="720090" cy="539750"/>
                    </a:xfrm>
                    <a:prstGeom prst="rect">
                      <a:avLst/>
                    </a:prstGeom>
                    <a:noFill/>
                  </pic:spPr>
                </pic:pic>
              </a:graphicData>
            </a:graphic>
          </wp:inline>
        </w:drawing>
      </w:r>
    </w:p>
    <w:p>
      <w:pPr>
        <w:pStyle w:val="Heading1"/>
        <w:bidi w:val="0"/>
        <w:jc w:val="left"/>
        <w:rPr/>
      </w:pPr>
      <w:r>
        <w:rPr/>
        <w:t>Quy trình khảo sát tiếp cận</w:t>
      </w:r>
    </w:p>
    <w:p>
      <w:pPr>
        <w:pStyle w:val="BodyTextmeta"/>
        <w:bidi w:val="0"/>
        <w:jc w:val="left"/>
        <w:rPr/>
      </w:pPr>
      <w:r>
        <w:rPr/>
        <w:t>Dự án Tiếp Cận · Phiên bản v2-qcvn2024 · cập nhật 2026-10-29</w:t>
      </w:r>
    </w:p>
    <w:p>
      <w:pPr>
        <w:pStyle w:val="BodyText"/>
        <w:bidi w:val="0"/>
        <w:ind w:hanging="0" w:left="0" w:right="0"/>
        <w:jc w:val="left"/>
        <w:rPr>
          <w:bdr w:val="single" w:sz="6" w:space="5" w:color="B36B00"/>
          <w:shd w:fill="FFF6E0" w:val="clear"/>
        </w:rPr>
      </w:pPr>
      <w:r>
        <w:rPr>
          <w:b/>
          <w:bdr w:val="single" w:sz="6" w:space="5" w:color="B36B00"/>
          <w:shd w:fill="FFF6E0" w:val="clear"/>
        </w:rPr>
        <w:t>Bản nháp, chờ Hội thông qua.</w:t>
      </w:r>
      <w:r>
        <w:rPr>
          <w:bdr w:val="single" w:sz="6" w:space="5" w:color="B36B00"/>
          <w:shd w:fill="FFF6E0" w:val="clear"/>
        </w:rPr>
        <w:t xml:space="preserve"> Các ngưỡng số tham chiếu </w:t>
      </w:r>
      <w:r>
        <w:rPr>
          <w:b/>
          <w:bdr w:val="single" w:sz="6" w:space="5" w:color="B36B00"/>
          <w:shd w:fill="FFF6E0" w:val="clear"/>
        </w:rPr>
        <w:t>QCVN 10:2024/BXD</w:t>
      </w:r>
      <w:r>
        <w:rPr>
          <w:bdr w:val="single" w:sz="6" w:space="5" w:color="B36B00"/>
          <w:shd w:fill="FFF6E0" w:val="clear"/>
        </w:rPr>
        <w:t xml:space="preserve"> (Thông tư 06/2024/TT-BXD, hiệu lực 01/02/2025; bản 2014 đã bị thay). Mức MỘT PHẦN nới hơn chuẩn (cửa 80-89 cm, ngưỡng tối đa 2 cm) là tiêu chí của dự án, không phải kết luận đạt/không đạt QCVN. Số điều khoản ghi dưới từng câu.</w:t>
      </w:r>
    </w:p>
    <w:p>
      <w:pPr>
        <w:pStyle w:val="Heading2"/>
        <w:bidi w:val="0"/>
        <w:jc w:val="left"/>
        <w:rPr/>
      </w:pPr>
      <w:r>
        <w:rPr/>
        <w:t>1. Mục đích và nguyên tắc</w:t>
      </w:r>
    </w:p>
    <w:p>
      <w:pPr>
        <w:pStyle w:val="BodyText"/>
        <w:numPr>
          <w:ilvl w:val="0"/>
          <w:numId w:val="1"/>
        </w:numPr>
        <w:tabs>
          <w:tab w:val="clear" w:pos="1134"/>
          <w:tab w:val="left" w:pos="709" w:leader="none"/>
        </w:tabs>
        <w:bidi w:val="0"/>
        <w:spacing w:before="0" w:after="0"/>
        <w:ind w:hanging="283" w:left="709"/>
        <w:jc w:val="left"/>
        <w:rPr/>
      </w:pPr>
      <w:r>
        <w:rPr/>
        <w:t xml:space="preserve">Ghi lại tình trạng tiếp cận </w:t>
      </w:r>
      <w:r>
        <w:rPr>
          <w:b/>
        </w:rPr>
        <w:t>thực tế</w:t>
      </w:r>
      <w:r>
        <w:rPr/>
        <w:t xml:space="preserve"> của địa điểm để người khuyết tật biết trước khi đến. </w:t>
      </w:r>
    </w:p>
    <w:p>
      <w:pPr>
        <w:pStyle w:val="BodyText"/>
        <w:numPr>
          <w:ilvl w:val="0"/>
          <w:numId w:val="1"/>
        </w:numPr>
        <w:tabs>
          <w:tab w:val="clear" w:pos="1134"/>
          <w:tab w:val="left" w:pos="709" w:leader="none"/>
        </w:tabs>
        <w:bidi w:val="0"/>
        <w:spacing w:before="0" w:after="0"/>
        <w:ind w:hanging="283" w:left="709"/>
        <w:jc w:val="left"/>
        <w:rPr/>
      </w:pPr>
      <w:r>
        <w:rPr>
          <w:b/>
        </w:rPr>
        <w:t>Khách quan:</w:t>
      </w:r>
      <w:r>
        <w:rPr/>
        <w:t xml:space="preserve"> kết quả theo quy tắc chấm công khai, không thương lượng được. Doanh nghiệp có thể mời khảo sát nhưng không mua được kết quả tốt. </w:t>
      </w:r>
    </w:p>
    <w:p>
      <w:pPr>
        <w:pStyle w:val="BodyText"/>
        <w:numPr>
          <w:ilvl w:val="0"/>
          <w:numId w:val="1"/>
        </w:numPr>
        <w:tabs>
          <w:tab w:val="clear" w:pos="1134"/>
          <w:tab w:val="left" w:pos="709" w:leader="none"/>
        </w:tabs>
        <w:bidi w:val="0"/>
        <w:spacing w:before="0" w:after="0"/>
        <w:ind w:hanging="283" w:left="709"/>
        <w:jc w:val="left"/>
        <w:rPr/>
      </w:pPr>
      <w:r>
        <w:rPr>
          <w:b/>
        </w:rPr>
        <w:t>Ưu tiên khảo sát có người dùng xe lăn đi cùng:</w:t>
      </w:r>
      <w:r>
        <w:rPr/>
        <w:t xml:space="preserve"> dự án ưu tiên các khảo sát có một người khuyết tật ngồi xe lăn cùng đi khảo sát, kèm ảnh thể hiện điều đó (người đó phải đồng ý được chụp ảnh và dùng ảnh). Báo cáo loại này được ưu tiên đối chiếu và duyệt trước. </w:t>
      </w:r>
    </w:p>
    <w:p>
      <w:pPr>
        <w:pStyle w:val="BodyText"/>
        <w:numPr>
          <w:ilvl w:val="0"/>
          <w:numId w:val="1"/>
        </w:numPr>
        <w:tabs>
          <w:tab w:val="clear" w:pos="1134"/>
          <w:tab w:val="left" w:pos="709" w:leader="none"/>
        </w:tabs>
        <w:bidi w:val="0"/>
        <w:spacing w:before="0" w:after="0"/>
        <w:ind w:hanging="283" w:left="709"/>
        <w:jc w:val="left"/>
        <w:rPr/>
      </w:pPr>
      <w:r>
        <w:rPr>
          <w:b/>
        </w:rPr>
        <w:t>Trung thực:</w:t>
      </w:r>
      <w:r>
        <w:rPr/>
        <w:t xml:space="preserve"> chỉ ghi điều đã đo hoặc thấy tận mắt; chưa chắc thì chọn "Không rõ". </w:t>
      </w:r>
    </w:p>
    <w:p>
      <w:pPr>
        <w:pStyle w:val="BodyText"/>
        <w:numPr>
          <w:ilvl w:val="0"/>
          <w:numId w:val="1"/>
        </w:numPr>
        <w:tabs>
          <w:tab w:val="clear" w:pos="1134"/>
          <w:tab w:val="left" w:pos="709" w:leader="none"/>
        </w:tabs>
        <w:bidi w:val="0"/>
        <w:spacing w:before="0" w:after="0"/>
        <w:ind w:hanging="283" w:left="709"/>
        <w:jc w:val="left"/>
        <w:rPr/>
      </w:pPr>
      <w:r>
        <w:rPr>
          <w:b/>
        </w:rPr>
        <w:t>Tôn trọng cơ sở:</w:t>
      </w:r>
      <w:r>
        <w:rPr/>
        <w:t xml:space="preserve"> xin phép, ăn mặc và cư xử lịch sự, không gây cản trở kinh doanh. </w:t>
      </w:r>
    </w:p>
    <w:p>
      <w:pPr>
        <w:pStyle w:val="BodyText"/>
        <w:numPr>
          <w:ilvl w:val="0"/>
          <w:numId w:val="1"/>
        </w:numPr>
        <w:tabs>
          <w:tab w:val="clear" w:pos="1134"/>
          <w:tab w:val="left" w:pos="709" w:leader="none"/>
        </w:tabs>
        <w:bidi w:val="0"/>
        <w:ind w:hanging="283" w:left="709"/>
        <w:jc w:val="left"/>
        <w:rPr/>
      </w:pPr>
      <w:r>
        <w:rPr>
          <w:b/>
        </w:rPr>
        <w:t>An toàn:</w:t>
      </w:r>
      <w:r>
        <w:rPr/>
        <w:t xml:space="preserve"> không tự làm điều nguy hiểm để đo (leo bậc cao, vào khu cấm). Đi theo cặp khi có thể.</w:t>
      </w:r>
    </w:p>
    <w:p>
      <w:pPr>
        <w:pStyle w:val="Heading2"/>
        <w:bidi w:val="0"/>
        <w:jc w:val="left"/>
        <w:rPr/>
      </w:pPr>
      <w:r>
        <w:rPr/>
        <w:t>2. Chuẩn bị</w:t>
      </w:r>
    </w:p>
    <w:p>
      <w:pPr>
        <w:pStyle w:val="BodyText"/>
        <w:numPr>
          <w:ilvl w:val="0"/>
          <w:numId w:val="2"/>
        </w:numPr>
        <w:tabs>
          <w:tab w:val="clear" w:pos="1134"/>
          <w:tab w:val="left" w:pos="709" w:leader="none"/>
        </w:tabs>
        <w:bidi w:val="0"/>
        <w:spacing w:before="0" w:after="0"/>
        <w:ind w:hanging="283" w:left="709"/>
        <w:jc w:val="left"/>
        <w:rPr/>
      </w:pPr>
      <w:r>
        <w:rPr/>
        <w:t xml:space="preserve">Dụng cụ: thước dây (ít nhất 3 m), điện thoại có GPS và máy ảnh, pin dự phòng, (tuỳ chọn) thước đo độ dốc hoặc ứng dụng đo độ dốc. </w:t>
      </w:r>
    </w:p>
    <w:p>
      <w:pPr>
        <w:pStyle w:val="BodyText"/>
        <w:numPr>
          <w:ilvl w:val="0"/>
          <w:numId w:val="2"/>
        </w:numPr>
        <w:tabs>
          <w:tab w:val="clear" w:pos="1134"/>
          <w:tab w:val="left" w:pos="709" w:leader="none"/>
        </w:tabs>
        <w:bidi w:val="0"/>
        <w:spacing w:before="0" w:after="0"/>
        <w:ind w:hanging="283" w:left="709"/>
        <w:jc w:val="left"/>
        <w:rPr/>
      </w:pPr>
      <w:r>
        <w:rPr/>
        <w:t xml:space="preserve">Giấy giới thiệu / thẻ khảo sát viên của dự án. </w:t>
      </w:r>
    </w:p>
    <w:p>
      <w:pPr>
        <w:pStyle w:val="BodyText"/>
        <w:numPr>
          <w:ilvl w:val="0"/>
          <w:numId w:val="2"/>
        </w:numPr>
        <w:tabs>
          <w:tab w:val="clear" w:pos="1134"/>
          <w:tab w:val="left" w:pos="709" w:leader="none"/>
        </w:tabs>
        <w:bidi w:val="0"/>
        <w:spacing w:before="0" w:after="0"/>
        <w:ind w:hanging="283" w:left="709"/>
        <w:jc w:val="left"/>
        <w:rPr/>
      </w:pPr>
      <w:r>
        <w:rPr/>
        <w:t xml:space="preserve">Xem trước trên bản đồ: địa chỉ, đường đến, loại địa điểm; in hoặc mở sẵn bảng hỏi tương ứng (phần lõi + phần thêm theo loại). </w:t>
      </w:r>
    </w:p>
    <w:p>
      <w:pPr>
        <w:pStyle w:val="BodyText"/>
        <w:numPr>
          <w:ilvl w:val="0"/>
          <w:numId w:val="2"/>
        </w:numPr>
        <w:tabs>
          <w:tab w:val="clear" w:pos="1134"/>
          <w:tab w:val="left" w:pos="709" w:leader="none"/>
        </w:tabs>
        <w:bidi w:val="0"/>
        <w:spacing w:before="0" w:after="0"/>
        <w:ind w:hanging="283" w:left="709"/>
        <w:jc w:val="left"/>
        <w:rPr/>
      </w:pPr>
      <w:r>
        <w:rPr/>
        <w:t xml:space="preserve">Nếu được: gọi báo trước cho cơ sở; không bắt buộc, nhưng giúp được hỗ trợ vào các khu nhân viên. </w:t>
      </w:r>
    </w:p>
    <w:p>
      <w:pPr>
        <w:pStyle w:val="BodyText"/>
        <w:numPr>
          <w:ilvl w:val="0"/>
          <w:numId w:val="2"/>
        </w:numPr>
        <w:tabs>
          <w:tab w:val="clear" w:pos="1134"/>
          <w:tab w:val="left" w:pos="709" w:leader="none"/>
        </w:tabs>
        <w:bidi w:val="0"/>
        <w:ind w:hanging="283" w:left="709"/>
        <w:jc w:val="left"/>
        <w:rPr/>
      </w:pPr>
      <w:r>
        <w:rPr/>
        <w:t xml:space="preserve">Bảo hiểm tai nạn cho khảo sát viên: </w:t>
      </w:r>
      <w:r>
        <w:rPr>
          <w:b/>
        </w:rPr>
        <w:t>chờ Hội xác nhận</w:t>
      </w:r>
      <w:r>
        <w:rPr/>
        <w:t>.</w:t>
      </w:r>
    </w:p>
    <w:p>
      <w:pPr>
        <w:pStyle w:val="Heading2"/>
        <w:bidi w:val="0"/>
        <w:jc w:val="left"/>
        <w:rPr/>
      </w:pPr>
      <w:r>
        <w:rPr/>
        <w:t>3. Tại hiện trường (10 đến 15 phút mỗi địa điểm)</w:t>
      </w:r>
    </w:p>
    <w:p>
      <w:pPr>
        <w:pStyle w:val="BodyText"/>
        <w:numPr>
          <w:ilvl w:val="0"/>
          <w:numId w:val="3"/>
        </w:numPr>
        <w:tabs>
          <w:tab w:val="clear" w:pos="1134"/>
          <w:tab w:val="left" w:pos="709" w:leader="none"/>
        </w:tabs>
        <w:bidi w:val="0"/>
        <w:spacing w:before="0" w:after="0"/>
        <w:ind w:hanging="283" w:left="709"/>
        <w:jc w:val="left"/>
        <w:rPr/>
      </w:pPr>
      <w:r>
        <w:rPr>
          <w:b/>
        </w:rPr>
        <w:t>B. Tổng quan:</w:t>
      </w:r>
      <w:r>
        <w:rPr/>
        <w:t xml:space="preserve"> vỉa hè, chỗ đậu xe hoặc chỗ dừng đón, khoảng trống quay đầu xe lăn bên trong (~1,5 m), quầy lễ tân/thu ngân, nhân viên hỗ trợ, biển chỉ dẫn. Chụp ảnh toàn cảnh mặt trước, </w:t>
      </w:r>
      <w:r>
        <w:rPr>
          <w:b/>
        </w:rPr>
        <w:t>ngang máy 16:9</w:t>
      </w:r>
      <w:r>
        <w:rPr/>
        <w:t xml:space="preserve"> (ảnh bắt buộc). </w:t>
      </w:r>
    </w:p>
    <w:p>
      <w:pPr>
        <w:pStyle w:val="BodyText"/>
        <w:numPr>
          <w:ilvl w:val="0"/>
          <w:numId w:val="3"/>
        </w:numPr>
        <w:tabs>
          <w:tab w:val="clear" w:pos="1134"/>
          <w:tab w:val="left" w:pos="709" w:leader="none"/>
        </w:tabs>
        <w:bidi w:val="0"/>
        <w:spacing w:before="0" w:after="0"/>
        <w:ind w:hanging="283" w:left="709"/>
        <w:jc w:val="left"/>
        <w:rPr/>
      </w:pPr>
      <w:r>
        <w:rPr>
          <w:b/>
        </w:rPr>
        <w:t>C. Lối vào:</w:t>
      </w:r>
      <w:r>
        <w:rPr/>
        <w:t xml:space="preserve"> đếm số bậc, đo chiều cao bậc cao nhất, kiểm đường dốc (độ dốc ước lượng, chiều rộng), lối vào khác nếu lối chính không tiếp cận được. Chụp ảnh lối vào có thước dây trong khung (ảnh bắt buộc). </w:t>
      </w:r>
    </w:p>
    <w:p>
      <w:pPr>
        <w:pStyle w:val="BodyText"/>
        <w:numPr>
          <w:ilvl w:val="0"/>
          <w:numId w:val="3"/>
        </w:numPr>
        <w:tabs>
          <w:tab w:val="clear" w:pos="1134"/>
          <w:tab w:val="left" w:pos="709" w:leader="none"/>
        </w:tabs>
        <w:bidi w:val="0"/>
        <w:spacing w:before="0" w:after="0"/>
        <w:ind w:hanging="283" w:left="709"/>
        <w:jc w:val="left"/>
        <w:rPr/>
      </w:pPr>
      <w:r>
        <w:rPr>
          <w:b/>
        </w:rPr>
        <w:t>D. Cửa chính:</w:t>
      </w:r>
      <w:r>
        <w:rPr/>
        <w:t xml:space="preserve"> đo chiều rộng thông thuỷ của cửa (từ mép trong, khi cửa mở hết), loại cửa, ngưỡng cửa. Chụp ảnh cửa có thước dây trong khung (ảnh bắt buộc). </w:t>
      </w:r>
    </w:p>
    <w:p>
      <w:pPr>
        <w:pStyle w:val="BodyText"/>
        <w:numPr>
          <w:ilvl w:val="0"/>
          <w:numId w:val="3"/>
        </w:numPr>
        <w:tabs>
          <w:tab w:val="clear" w:pos="1134"/>
          <w:tab w:val="left" w:pos="709" w:leader="none"/>
        </w:tabs>
        <w:bidi w:val="0"/>
        <w:spacing w:before="0" w:after="0"/>
        <w:ind w:hanging="283" w:left="709"/>
        <w:jc w:val="left"/>
        <w:rPr/>
      </w:pPr>
      <w:r>
        <w:rPr>
          <w:b/>
        </w:rPr>
        <w:t>E. Thang máy (nếu có):</w:t>
      </w:r>
      <w:r>
        <w:rPr/>
        <w:t xml:space="preserve"> địa điểm nhiều tầng thì kiểm có thang máy không và đo chiều rộng cửa thang máy. Ảnh thang máy không bắt buộc. </w:t>
      </w:r>
    </w:p>
    <w:p>
      <w:pPr>
        <w:pStyle w:val="BodyText"/>
        <w:numPr>
          <w:ilvl w:val="0"/>
          <w:numId w:val="3"/>
        </w:numPr>
        <w:tabs>
          <w:tab w:val="clear" w:pos="1134"/>
          <w:tab w:val="left" w:pos="709" w:leader="none"/>
        </w:tabs>
        <w:bidi w:val="0"/>
        <w:spacing w:before="0" w:after="0"/>
        <w:ind w:hanging="283" w:left="709"/>
        <w:jc w:val="left"/>
        <w:rPr/>
      </w:pPr>
      <w:r>
        <w:rPr>
          <w:b/>
        </w:rPr>
        <w:t>F. Nhà vệ sinh:</w:t>
      </w:r>
      <w:r>
        <w:rPr/>
        <w:t xml:space="preserve"> có nhà vệ sinh tiếp cận không; đo cửa, tay vịn, chỗ quay xe, độ cao bồn cầu. Ảnh nhà vệ sinh không bắt buộc (không chụp người đang dùng). </w:t>
      </w:r>
    </w:p>
    <w:p>
      <w:pPr>
        <w:pStyle w:val="BodyText"/>
        <w:numPr>
          <w:ilvl w:val="0"/>
          <w:numId w:val="3"/>
        </w:numPr>
        <w:tabs>
          <w:tab w:val="clear" w:pos="1134"/>
          <w:tab w:val="left" w:pos="709" w:leader="none"/>
        </w:tabs>
        <w:bidi w:val="0"/>
        <w:spacing w:before="0" w:after="0"/>
        <w:ind w:hanging="283" w:left="709"/>
        <w:jc w:val="left"/>
        <w:rPr/>
      </w:pPr>
      <w:r>
        <w:rPr>
          <w:b/>
        </w:rPr>
        <w:t>Phần thêm theo loại:</w:t>
      </w:r>
      <w:r>
        <w:rPr/>
        <w:t xml:space="preserve"> khách sạn (phòng tiếp cận), nhà hàng (bàn, thực đơn), bảo tàng / di tích / điểm tham quan (vé, mượn xe lăn, lộ trình), giao thông (hỗ trợ lên xuống, khoảng hở sân ga/bến đỗ). </w:t>
      </w:r>
    </w:p>
    <w:p>
      <w:pPr>
        <w:pStyle w:val="BodyText"/>
        <w:numPr>
          <w:ilvl w:val="0"/>
          <w:numId w:val="3"/>
        </w:numPr>
        <w:tabs>
          <w:tab w:val="clear" w:pos="1134"/>
          <w:tab w:val="left" w:pos="709" w:leader="none"/>
        </w:tabs>
        <w:bidi w:val="0"/>
        <w:spacing w:before="0" w:after="0"/>
        <w:ind w:hanging="283" w:left="709"/>
        <w:jc w:val="left"/>
        <w:rPr/>
      </w:pPr>
      <w:r>
        <w:rPr>
          <w:b/>
        </w:rPr>
        <w:t>Ảnh:</w:t>
      </w:r>
      <w:r>
        <w:rPr/>
        <w:t xml:space="preserve"> 3 vị trí bắt buộc là tổng quan (chụp ngang máy 16:9), lối vào và cửa chính; thang máy và nhà vệ sinh không bắt buộc. Mỗi vị trí tối đa 5 ảnh, tổng ít nhất 5 ảnh; ảnh tải lên được hệ thống tự chuyển sang định dạng WebP cho nhẹ. Không để lộ mặt người khi chưa được họ đồng ý. Nếu có người dùng xe lăn đi cùng, ảnh thể hiện người đó chỉ đưa vào ảnh công khai khi họ đồng ý công bố (nếu không, đưa vào mục ảnh bổ sung, không công khai). </w:t>
      </w:r>
    </w:p>
    <w:p>
      <w:pPr>
        <w:pStyle w:val="BodyText"/>
        <w:numPr>
          <w:ilvl w:val="0"/>
          <w:numId w:val="3"/>
        </w:numPr>
        <w:tabs>
          <w:tab w:val="clear" w:pos="1134"/>
          <w:tab w:val="left" w:pos="709" w:leader="none"/>
        </w:tabs>
        <w:bidi w:val="0"/>
        <w:ind w:hanging="283" w:left="709"/>
        <w:jc w:val="left"/>
        <w:rPr/>
      </w:pPr>
      <w:r>
        <w:rPr>
          <w:b/>
        </w:rPr>
        <w:t>Toạ độ GPS:</w:t>
      </w:r>
      <w:r>
        <w:rPr/>
        <w:t xml:space="preserve"> bấm nút "Lấy vị trí GPS" trên biểu mẫu khi đứng ngay tại cửa chính, ngoài trời. Sai số trên 30 m sẽ bị cảnh báo, hãy ra chỗ thoáng và lấy lại. Không nhập tay: đây là bằng chứng khảo sát viên đã đến địa điểm thật.</w:t>
      </w:r>
    </w:p>
    <w:p>
      <w:pPr>
        <w:pStyle w:val="Heading2"/>
        <w:bidi w:val="0"/>
        <w:jc w:val="left"/>
        <w:rPr/>
      </w:pPr>
      <w:r>
        <w:rPr/>
        <w:t>4. Chấm mức tiếp cận</w:t>
      </w:r>
    </w:p>
    <w:p>
      <w:pPr>
        <w:pStyle w:val="BodyText"/>
        <w:numPr>
          <w:ilvl w:val="0"/>
          <w:numId w:val="4"/>
        </w:numPr>
        <w:tabs>
          <w:tab w:val="clear" w:pos="1134"/>
          <w:tab w:val="left" w:pos="709" w:leader="none"/>
        </w:tabs>
        <w:bidi w:val="0"/>
        <w:spacing w:before="0" w:after="0"/>
        <w:ind w:hanging="283" w:left="709"/>
        <w:jc w:val="left"/>
        <w:rPr/>
      </w:pPr>
      <w:r>
        <w:rPr/>
        <w:t xml:space="preserve">Chọn </w:t>
      </w:r>
      <w:r>
        <w:rPr>
          <w:b/>
        </w:rPr>
        <w:t>Đầy đủ / Một phần / Không</w:t>
      </w:r>
      <w:r>
        <w:rPr/>
        <w:t xml:space="preserve"> theo quy tắc cứng: ĐẦY ĐỦ chỉ khi lối vào, đường đi bên trong và nhà vệ sinh cùng đạt; thiếu một thì tối đa MỘT PHẦN; không vào được độc lập thì KHÔNG. </w:t>
      </w:r>
    </w:p>
    <w:p>
      <w:pPr>
        <w:pStyle w:val="BodyText"/>
        <w:numPr>
          <w:ilvl w:val="0"/>
          <w:numId w:val="4"/>
        </w:numPr>
        <w:tabs>
          <w:tab w:val="clear" w:pos="1134"/>
          <w:tab w:val="left" w:pos="709" w:leader="none"/>
        </w:tabs>
        <w:bidi w:val="0"/>
        <w:spacing w:before="0" w:after="0"/>
        <w:ind w:hanging="283" w:left="709"/>
        <w:jc w:val="left"/>
        <w:rPr/>
      </w:pPr>
      <w:r>
        <w:rPr/>
        <w:t xml:space="preserve">Di tích không sửa được do bảo tồn: vẫn chấm theo thực tế nhưng ghi rõ lý do ở phần ghi chú. </w:t>
      </w:r>
    </w:p>
    <w:p>
      <w:pPr>
        <w:pStyle w:val="BodyText"/>
        <w:numPr>
          <w:ilvl w:val="0"/>
          <w:numId w:val="4"/>
        </w:numPr>
        <w:tabs>
          <w:tab w:val="clear" w:pos="1134"/>
          <w:tab w:val="left" w:pos="709" w:leader="none"/>
        </w:tabs>
        <w:bidi w:val="0"/>
        <w:ind w:hanging="283" w:left="709"/>
        <w:jc w:val="left"/>
        <w:rPr/>
      </w:pPr>
      <w:r>
        <w:rPr/>
        <w:t>Biểu mẫu trực tuyến tự gợi ý mức theo các câu trả lời; khảo sát viên có thể chọn khác nhưng phải ghi lý do.</w:t>
      </w:r>
    </w:p>
    <w:p>
      <w:pPr>
        <w:pStyle w:val="Heading2"/>
        <w:bidi w:val="0"/>
        <w:jc w:val="left"/>
        <w:rPr/>
      </w:pPr>
      <w:r>
        <w:rPr/>
        <w:t>5. Gửi báo cáo</w:t>
      </w:r>
    </w:p>
    <w:p>
      <w:pPr>
        <w:pStyle w:val="BodyText"/>
        <w:numPr>
          <w:ilvl w:val="0"/>
          <w:numId w:val="5"/>
        </w:numPr>
        <w:tabs>
          <w:tab w:val="clear" w:pos="1134"/>
          <w:tab w:val="left" w:pos="709" w:leader="none"/>
        </w:tabs>
        <w:bidi w:val="0"/>
        <w:spacing w:before="0" w:after="0"/>
        <w:ind w:hanging="283" w:left="709"/>
        <w:jc w:val="left"/>
        <w:rPr/>
      </w:pPr>
      <w:r>
        <w:rPr/>
        <w:t xml:space="preserve">Cách 1: điền </w:t>
      </w:r>
      <w:r>
        <w:rPr>
          <w:b/>
        </w:rPr>
        <w:t>biểu mẫu trực tuyến</w:t>
      </w:r>
      <w:r>
        <w:rPr/>
        <w:t xml:space="preserve"> của dự án (mục Tài liệu trên web) ngay tại hiện trường hoặc sau đó. </w:t>
      </w:r>
    </w:p>
    <w:p>
      <w:pPr>
        <w:pStyle w:val="BodyText"/>
        <w:numPr>
          <w:ilvl w:val="0"/>
          <w:numId w:val="5"/>
        </w:numPr>
        <w:tabs>
          <w:tab w:val="clear" w:pos="1134"/>
          <w:tab w:val="left" w:pos="709" w:leader="none"/>
        </w:tabs>
        <w:bidi w:val="0"/>
        <w:spacing w:before="0" w:after="0"/>
        <w:ind w:hanging="283" w:left="709"/>
        <w:jc w:val="left"/>
        <w:rPr/>
      </w:pPr>
      <w:r>
        <w:rPr/>
        <w:t xml:space="preserve">Cách 2: điền bảng hỏi giấy, sau đó nhập lên biểu mẫu trực tuyến trong vòng 3 ngày. </w:t>
      </w:r>
    </w:p>
    <w:p>
      <w:pPr>
        <w:pStyle w:val="BodyText"/>
        <w:numPr>
          <w:ilvl w:val="0"/>
          <w:numId w:val="5"/>
        </w:numPr>
        <w:tabs>
          <w:tab w:val="clear" w:pos="1134"/>
          <w:tab w:val="left" w:pos="709" w:leader="none"/>
        </w:tabs>
        <w:bidi w:val="0"/>
        <w:ind w:hanging="283" w:left="709"/>
        <w:jc w:val="left"/>
        <w:rPr/>
      </w:pPr>
      <w:r>
        <w:rPr/>
        <w:t>Báo cáo cần có: đủ các câu bắt buộc, đủ ảnh ở 3 vị trí bắt buộc (tổng ít nhất 5 ảnh), toạ độ GPS, ngày khảo sát, tên khảo sát viên.</w:t>
      </w:r>
    </w:p>
    <w:p>
      <w:pPr>
        <w:pStyle w:val="Heading2"/>
        <w:bidi w:val="0"/>
        <w:jc w:val="left"/>
        <w:rPr/>
      </w:pPr>
      <w:r>
        <w:rPr/>
        <w:t>6. Đối chiếu và duyệt (do quản trị viên)</w:t>
      </w:r>
    </w:p>
    <w:p>
      <w:pPr>
        <w:pStyle w:val="BodyText"/>
        <w:bidi w:val="0"/>
        <w:jc w:val="left"/>
        <w:rPr/>
      </w:pPr>
      <w:r>
        <w:rPr/>
        <w:t xml:space="preserve">Khảo sát viên </w:t>
      </w:r>
      <w:r>
        <w:rPr>
          <w:b/>
        </w:rPr>
        <w:t>không tự đăng</w:t>
      </w:r>
      <w:r>
        <w:rPr/>
        <w:t xml:space="preserve"> kết quả. Quản trị viên chỉ đối chiếu và duyệt:</w:t>
      </w:r>
    </w:p>
    <w:tbl>
      <w:tblPr>
        <w:tblW w:w="11339" w:type="dxa"/>
        <w:jc w:val="left"/>
        <w:tblInd w:w="28" w:type="dxa"/>
        <w:tblLayout w:type="fixed"/>
        <w:tblCellMar>
          <w:top w:w="28" w:type="dxa"/>
          <w:left w:w="28" w:type="dxa"/>
          <w:bottom w:w="28" w:type="dxa"/>
          <w:right w:w="28" w:type="dxa"/>
        </w:tblCellMar>
      </w:tblPr>
      <w:tblGrid>
        <w:gridCol w:w="1406"/>
        <w:gridCol w:w="9933"/>
      </w:tblGrid>
      <w:tr>
        <w:trPr/>
        <w:tc>
          <w:tcPr>
            <w:tcW w:w="1406" w:type="dxa"/>
            <w:tcBorders/>
            <w:vAlign w:val="center"/>
          </w:tcPr>
          <w:p>
            <w:pPr>
              <w:pStyle w:val="TableHeading"/>
              <w:suppressLineNumbers/>
              <w:shd w:fill="E4F1F5" w:val="clear"/>
              <w:bidi w:val="0"/>
              <w:spacing w:before="0" w:after="283"/>
              <w:jc w:val="left"/>
              <w:rPr/>
            </w:pPr>
            <w:r>
              <w:rPr/>
              <w:t>Trạng thái</w:t>
            </w:r>
          </w:p>
        </w:tc>
        <w:tc>
          <w:tcPr>
            <w:tcW w:w="9933" w:type="dxa"/>
            <w:tcBorders/>
            <w:vAlign w:val="center"/>
          </w:tcPr>
          <w:p>
            <w:pPr>
              <w:pStyle w:val="TableHeading"/>
              <w:suppressLineNumbers/>
              <w:shd w:fill="E4F1F5" w:val="clear"/>
              <w:bidi w:val="0"/>
              <w:spacing w:before="0" w:after="283"/>
              <w:jc w:val="left"/>
              <w:rPr/>
            </w:pPr>
            <w:r>
              <w:rPr/>
              <w:t>Ý nghĩa</w:t>
            </w:r>
          </w:p>
        </w:tc>
      </w:tr>
      <w:tr>
        <w:trPr/>
        <w:tc>
          <w:tcPr>
            <w:tcW w:w="1406" w:type="dxa"/>
            <w:tcBorders/>
            <w:vAlign w:val="center"/>
          </w:tcPr>
          <w:p>
            <w:pPr>
              <w:pStyle w:val="TableContents"/>
              <w:bidi w:val="0"/>
              <w:spacing w:before="0" w:after="283"/>
              <w:jc w:val="left"/>
              <w:rPr/>
            </w:pPr>
            <w:r>
              <w:rPr/>
              <w:t>Đã gửi</w:t>
            </w:r>
          </w:p>
        </w:tc>
        <w:tc>
          <w:tcPr>
            <w:tcW w:w="9933" w:type="dxa"/>
            <w:tcBorders/>
            <w:vAlign w:val="center"/>
          </w:tcPr>
          <w:p>
            <w:pPr>
              <w:pStyle w:val="TableContents"/>
              <w:bidi w:val="0"/>
              <w:spacing w:before="0" w:after="283"/>
              <w:jc w:val="left"/>
              <w:rPr/>
            </w:pPr>
            <w:r>
              <w:rPr/>
              <w:t>Báo cáo vừa nhận, chờ xem.</w:t>
            </w:r>
          </w:p>
        </w:tc>
      </w:tr>
      <w:tr>
        <w:trPr/>
        <w:tc>
          <w:tcPr>
            <w:tcW w:w="1406" w:type="dxa"/>
            <w:tcBorders/>
            <w:vAlign w:val="center"/>
          </w:tcPr>
          <w:p>
            <w:pPr>
              <w:pStyle w:val="TableContents"/>
              <w:bidi w:val="0"/>
              <w:spacing w:before="0" w:after="283"/>
              <w:jc w:val="left"/>
              <w:rPr/>
            </w:pPr>
            <w:r>
              <w:rPr/>
              <w:t>Đang đối chiếu</w:t>
            </w:r>
          </w:p>
        </w:tc>
        <w:tc>
          <w:tcPr>
            <w:tcW w:w="9933" w:type="dxa"/>
            <w:tcBorders/>
            <w:vAlign w:val="center"/>
          </w:tcPr>
          <w:p>
            <w:pPr>
              <w:pStyle w:val="TableContents"/>
              <w:bidi w:val="0"/>
              <w:spacing w:before="0" w:after="283"/>
              <w:jc w:val="left"/>
              <w:rPr/>
            </w:pPr>
            <w:r>
              <w:rPr/>
              <w:t>Quản trị viên kiểm: ảnh khớp số đo, toạ độ khớp địa chỉ, không trùng địa điểm đã có, mức tổng quát khớp quy tắc cứng.</w:t>
            </w:r>
          </w:p>
        </w:tc>
      </w:tr>
      <w:tr>
        <w:trPr/>
        <w:tc>
          <w:tcPr>
            <w:tcW w:w="1406" w:type="dxa"/>
            <w:tcBorders/>
            <w:vAlign w:val="center"/>
          </w:tcPr>
          <w:p>
            <w:pPr>
              <w:pStyle w:val="TableContents"/>
              <w:bidi w:val="0"/>
              <w:spacing w:before="0" w:after="283"/>
              <w:jc w:val="left"/>
              <w:rPr/>
            </w:pPr>
            <w:r>
              <w:rPr/>
              <w:t>Cần bổ sung</w:t>
            </w:r>
          </w:p>
        </w:tc>
        <w:tc>
          <w:tcPr>
            <w:tcW w:w="9933" w:type="dxa"/>
            <w:tcBorders/>
            <w:vAlign w:val="center"/>
          </w:tcPr>
          <w:p>
            <w:pPr>
              <w:pStyle w:val="TableContents"/>
              <w:bidi w:val="0"/>
              <w:spacing w:before="0" w:after="283"/>
              <w:jc w:val="left"/>
              <w:rPr/>
            </w:pPr>
            <w:r>
              <w:rPr/>
              <w:t>Thiếu ảnh / số đo mâu thuẫn: trả lại khảo sát viên kèm lý do.</w:t>
            </w:r>
          </w:p>
        </w:tc>
      </w:tr>
      <w:tr>
        <w:trPr/>
        <w:tc>
          <w:tcPr>
            <w:tcW w:w="1406" w:type="dxa"/>
            <w:tcBorders/>
            <w:vAlign w:val="center"/>
          </w:tcPr>
          <w:p>
            <w:pPr>
              <w:pStyle w:val="TableContents"/>
              <w:bidi w:val="0"/>
              <w:spacing w:before="0" w:after="283"/>
              <w:jc w:val="left"/>
              <w:rPr/>
            </w:pPr>
            <w:r>
              <w:rPr/>
              <w:t>Đã duyệt</w:t>
            </w:r>
          </w:p>
        </w:tc>
        <w:tc>
          <w:tcPr>
            <w:tcW w:w="9933" w:type="dxa"/>
            <w:tcBorders/>
            <w:vAlign w:val="center"/>
          </w:tcPr>
          <w:p>
            <w:pPr>
              <w:pStyle w:val="TableContents"/>
              <w:bidi w:val="0"/>
              <w:spacing w:before="0" w:after="283"/>
              <w:jc w:val="left"/>
              <w:rPr/>
            </w:pPr>
            <w:r>
              <w:rPr/>
              <w:t>Hợp lệ; địa điểm được công bố trên bản đồ, ghi ngày khảo sát.</w:t>
            </w:r>
          </w:p>
        </w:tc>
      </w:tr>
      <w:tr>
        <w:trPr/>
        <w:tc>
          <w:tcPr>
            <w:tcW w:w="1406" w:type="dxa"/>
            <w:tcBorders/>
            <w:vAlign w:val="center"/>
          </w:tcPr>
          <w:p>
            <w:pPr>
              <w:pStyle w:val="TableContents"/>
              <w:bidi w:val="0"/>
              <w:spacing w:before="0" w:after="283"/>
              <w:jc w:val="left"/>
              <w:rPr/>
            </w:pPr>
            <w:r>
              <w:rPr/>
              <w:t>Bị từ chối</w:t>
            </w:r>
          </w:p>
        </w:tc>
        <w:tc>
          <w:tcPr>
            <w:tcW w:w="9933" w:type="dxa"/>
            <w:tcBorders/>
            <w:vAlign w:val="center"/>
          </w:tcPr>
          <w:p>
            <w:pPr>
              <w:pStyle w:val="TableContents"/>
              <w:bidi w:val="0"/>
              <w:spacing w:before="0" w:after="283"/>
              <w:jc w:val="left"/>
              <w:rPr/>
            </w:pPr>
            <w:r>
              <w:rPr/>
              <w:t>Không hợp lệ (ảnh không phải địa điểm, nghi sai sự thật); ghi lý do, lưu hồ sơ.</w:t>
            </w:r>
          </w:p>
        </w:tc>
      </w:tr>
    </w:tbl>
    <w:p>
      <w:pPr>
        <w:pStyle w:val="BodyText"/>
        <w:numPr>
          <w:ilvl w:val="0"/>
          <w:numId w:val="6"/>
        </w:numPr>
        <w:tabs>
          <w:tab w:val="clear" w:pos="1134"/>
          <w:tab w:val="left" w:pos="709" w:leader="none"/>
        </w:tabs>
        <w:bidi w:val="0"/>
        <w:spacing w:before="0" w:after="0"/>
        <w:ind w:hanging="283" w:left="709"/>
        <w:jc w:val="left"/>
        <w:rPr/>
      </w:pPr>
      <w:r>
        <w:rPr/>
        <w:t xml:space="preserve">Với 5 đến 10 địa điểm đầu của mỗi khu vực: hai khảo sát viên khảo sát độc lập để so sánh, rồi điều chỉnh câu hỏi mơ hồ. </w:t>
      </w:r>
    </w:p>
    <w:p>
      <w:pPr>
        <w:pStyle w:val="BodyText"/>
        <w:numPr>
          <w:ilvl w:val="0"/>
          <w:numId w:val="6"/>
        </w:numPr>
        <w:tabs>
          <w:tab w:val="clear" w:pos="1134"/>
          <w:tab w:val="left" w:pos="709" w:leader="none"/>
        </w:tabs>
        <w:bidi w:val="0"/>
        <w:ind w:hanging="283" w:left="709"/>
        <w:jc w:val="left"/>
        <w:rPr/>
      </w:pPr>
      <w:r>
        <w:rPr/>
        <w:t>Thời gian duyệt mục tiêu: trong vòng 7 ngày (chờ xác nhận).</w:t>
      </w:r>
    </w:p>
    <w:p>
      <w:pPr>
        <w:pStyle w:val="Heading2"/>
        <w:bidi w:val="0"/>
        <w:jc w:val="left"/>
        <w:rPr/>
      </w:pPr>
      <w:r>
        <w:rPr/>
        <w:t>7. Phản hồi từ cơ sở và cập nhật</w:t>
      </w:r>
    </w:p>
    <w:p>
      <w:pPr>
        <w:pStyle w:val="BodyText"/>
        <w:numPr>
          <w:ilvl w:val="0"/>
          <w:numId w:val="7"/>
        </w:numPr>
        <w:tabs>
          <w:tab w:val="clear" w:pos="1134"/>
          <w:tab w:val="left" w:pos="709" w:leader="none"/>
        </w:tabs>
        <w:bidi w:val="0"/>
        <w:spacing w:before="0" w:after="0"/>
        <w:ind w:hanging="283" w:left="709"/>
        <w:jc w:val="left"/>
        <w:rPr/>
      </w:pPr>
      <w:r>
        <w:rPr/>
        <w:t xml:space="preserve">Cơ sở có quyền xem kết quả, giải trình, và đề nghị khảo sát lại khi đã cải tạo. Chỉ sửa kết quả khi có khảo sát mới. </w:t>
      </w:r>
    </w:p>
    <w:p>
      <w:pPr>
        <w:pStyle w:val="BodyText"/>
        <w:numPr>
          <w:ilvl w:val="0"/>
          <w:numId w:val="7"/>
        </w:numPr>
        <w:tabs>
          <w:tab w:val="clear" w:pos="1134"/>
          <w:tab w:val="left" w:pos="709" w:leader="none"/>
        </w:tabs>
        <w:bidi w:val="0"/>
        <w:spacing w:before="0" w:after="0"/>
        <w:ind w:hanging="283" w:left="709"/>
        <w:jc w:val="left"/>
        <w:rPr/>
      </w:pPr>
      <w:r>
        <w:rPr/>
        <w:t xml:space="preserve">Khảo sát lại định kỳ (đề xuất 12 tháng). Kết quả quá hạn sẽ được đánh dấu. </w:t>
      </w:r>
    </w:p>
    <w:p>
      <w:pPr>
        <w:pStyle w:val="BodyText"/>
        <w:numPr>
          <w:ilvl w:val="0"/>
          <w:numId w:val="7"/>
        </w:numPr>
        <w:tabs>
          <w:tab w:val="clear" w:pos="1134"/>
          <w:tab w:val="left" w:pos="709" w:leader="none"/>
        </w:tabs>
        <w:bidi w:val="0"/>
        <w:ind w:hanging="283" w:left="709"/>
        <w:jc w:val="left"/>
        <w:rPr/>
      </w:pPr>
      <w:r>
        <w:rPr/>
        <w:t>Ruy băng xanh (tuyển dụng người khuyết tật / thân thiện) là dấu riêng, xác minh riêng, không ảnh hưởng mức tiếp cận.</w:t>
      </w:r>
    </w:p>
    <w:p>
      <w:pPr>
        <w:pStyle w:val="Heading2"/>
        <w:bidi w:val="0"/>
        <w:jc w:val="left"/>
        <w:rPr/>
      </w:pPr>
      <w:r>
        <w:rPr/>
        <w:t>8. Riêng tư</w:t>
      </w:r>
    </w:p>
    <w:p>
      <w:pPr>
        <w:pStyle w:val="BodyText"/>
        <w:numPr>
          <w:ilvl w:val="0"/>
          <w:numId w:val="8"/>
        </w:numPr>
        <w:tabs>
          <w:tab w:val="clear" w:pos="1134"/>
          <w:tab w:val="left" w:pos="709" w:leader="none"/>
        </w:tabs>
        <w:bidi w:val="0"/>
        <w:spacing w:before="0" w:after="0"/>
        <w:ind w:hanging="283" w:left="709"/>
        <w:jc w:val="left"/>
        <w:rPr/>
      </w:pPr>
      <w:r>
        <w:rPr/>
        <w:t xml:space="preserve">Không đưa vào báo cáo số điện thoại, địa chỉ nhà riêng, thông tin sức khoẻ của bất kỳ ai. Ảnh mặt người chỉ khi người đó đồng ý; ảnh người khuyết tật đi cùng khảo sát cần sự đồng ý rõ ràng (bằng lời được ghi lại hoặc văn bản). </w:t>
      </w:r>
    </w:p>
    <w:p>
      <w:pPr>
        <w:pStyle w:val="BodyText"/>
        <w:numPr>
          <w:ilvl w:val="0"/>
          <w:numId w:val="8"/>
        </w:numPr>
        <w:tabs>
          <w:tab w:val="clear" w:pos="1134"/>
          <w:tab w:val="left" w:pos="709" w:leader="none"/>
        </w:tabs>
        <w:bidi w:val="0"/>
        <w:spacing w:before="0" w:after="283"/>
        <w:ind w:hanging="283" w:left="709"/>
        <w:jc w:val="left"/>
        <w:rPr/>
      </w:pPr>
      <w:r>
        <w:rPr/>
        <w:t>Thông tin liên hệ của khảo sát viên chỉ quản trị viên xem; trên web chỉ hiện tên hoặc bí danh nếu khảo sát viên đồng ý.</w:t>
      </w:r>
    </w:p>
    <w:sectPr>
      <w:type w:val="nextPage"/>
      <w:pgSz w:w="11906" w:h="16838"/>
      <w:pgMar w:left="794" w:right="794" w:gutter="0" w:header="0" w:top="907" w:footer="0" w:bottom="90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altName w:val="DejaVu Sans"/>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48"/>
    </w:pPr>
    <w:rPr>
      <w:rFonts w:ascii="Noto Sans;DejaVu Sans;Arial;sans-serif" w:hAnsi="Noto Sans;DejaVu Sans;Arial;sans-serif" w:eastAsia="Noto Sans;DejaVu Sans;Arial;sans-serif" w:cs="Noto Sans;DejaVu Sans;Arial;sans-serif"/>
      <w:b w:val="false"/>
      <w:bCs w:val="false"/>
      <w:i w:val="false"/>
      <w:iCs w:val="false"/>
      <w:caps w:val="false"/>
      <w:smallCaps w:val="false"/>
      <w:color w:val="10242B"/>
      <w:sz w:val="22"/>
      <w:szCs w:val="22"/>
      <w:lang w:val="en-US" w:eastAsia="zh-CN" w:bidi="hi-IN"/>
    </w:rPr>
  </w:style>
  <w:style w:type="paragraph" w:styleId="Heading1">
    <w:name w:val="heading 1"/>
    <w:basedOn w:val="Heading"/>
    <w:next w:val="BodyText"/>
    <w:qFormat/>
    <w:pPr/>
    <w:rPr>
      <w:b/>
      <w:bCs/>
      <w:sz w:val="38"/>
      <w:szCs w:val="38"/>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27"/>
      <w:szCs w:val="27"/>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3"/>
      <w:szCs w:val="23"/>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z w:val="20"/>
      <w:szCs w:val="20"/>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meta">
    <w:name w:val="Body Text.meta"/>
    <w:basedOn w:val="BodyText"/>
    <w:qFormat/>
    <w:pPr/>
    <w:rPr>
      <w:color w:val="44606A"/>
      <w:sz w:val="19"/>
      <w:szCs w:val="19"/>
    </w:rPr>
  </w:style>
  <w:style w:type="paragraph" w:styleId="TableHeading">
    <w:name w:val="Table Heading"/>
    <w:basedOn w:val="TableContents"/>
    <w:qFormat/>
    <w:pPr>
      <w:suppressLineNumbers/>
      <w:shd w:fill="E4F1F5" w:val="clear"/>
      <w:jc w:val="left"/>
    </w:pPr>
    <w:rPr>
      <w:b/>
      <w:bCs/>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sv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Quy trình khảo sát tiếp cận</dc:title>
</cp:coreProperties>
</file>

<file path=docProps/custom.xml><?xml version="1.0" encoding="utf-8"?>
<Properties xmlns="http://schemas.openxmlformats.org/officeDocument/2006/custom-properties" xmlns:vt="http://schemas.openxmlformats.org/officeDocument/2006/docPropsVTypes"/>
</file>